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AF" w:rsidRPr="00442EAF" w:rsidRDefault="00442EAF" w:rsidP="00442EAF">
      <w:pPr>
        <w:spacing w:after="144" w:line="240" w:lineRule="auto"/>
        <w:textAlignment w:val="baseline"/>
        <w:outlineLvl w:val="0"/>
        <w:rPr>
          <w:rFonts w:ascii="Arial" w:eastAsia="Times New Roman" w:hAnsi="Arial" w:cs="Arial"/>
          <w:caps/>
          <w:color w:val="767676"/>
          <w:kern w:val="36"/>
          <w:sz w:val="19"/>
          <w:szCs w:val="19"/>
          <w:lang w:eastAsia="ru-RU"/>
        </w:rPr>
      </w:pPr>
      <w:r w:rsidRPr="00442EAF">
        <w:rPr>
          <w:rFonts w:ascii="Arial" w:eastAsia="Times New Roman" w:hAnsi="Arial" w:cs="Arial"/>
          <w:caps/>
          <w:color w:val="767676"/>
          <w:kern w:val="36"/>
          <w:sz w:val="19"/>
          <w:szCs w:val="19"/>
          <w:lang w:eastAsia="ru-RU"/>
        </w:rPr>
        <w:t>НОРМАТИВЫ ПОТРЕБЛЕНИЯ ЭЛЕКТРОЭНЕРГИИ В НИЖНЕМ НОВОГОРОДЕ</w:t>
      </w:r>
    </w:p>
    <w:p w:rsidR="00442EAF" w:rsidRPr="00442EAF" w:rsidRDefault="00442EAF" w:rsidP="00442E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14"/>
          <w:szCs w:val="14"/>
          <w:lang w:eastAsia="ru-RU"/>
        </w:rPr>
      </w:pPr>
      <w:r w:rsidRPr="00442EAF">
        <w:rPr>
          <w:rFonts w:ascii="Times New Roman" w:eastAsia="Times New Roman" w:hAnsi="Times New Roman" w:cs="Times New Roman"/>
          <w:color w:val="1B1B1B"/>
          <w:sz w:val="14"/>
          <w:szCs w:val="14"/>
          <w:bdr w:val="none" w:sz="0" w:space="0" w:color="auto" w:frame="1"/>
          <w:lang w:eastAsia="ru-RU"/>
        </w:rPr>
        <w:t xml:space="preserve">На этой странице размещены нормативы потребления в жилых помещениях и на </w:t>
      </w:r>
      <w:proofErr w:type="spellStart"/>
      <w:r w:rsidRPr="00442EAF">
        <w:rPr>
          <w:rFonts w:ascii="Times New Roman" w:eastAsia="Times New Roman" w:hAnsi="Times New Roman" w:cs="Times New Roman"/>
          <w:color w:val="1B1B1B"/>
          <w:sz w:val="14"/>
          <w:szCs w:val="14"/>
          <w:bdr w:val="none" w:sz="0" w:space="0" w:color="auto" w:frame="1"/>
          <w:lang w:eastAsia="ru-RU"/>
        </w:rPr>
        <w:t>общедомовые</w:t>
      </w:r>
      <w:proofErr w:type="spellEnd"/>
      <w:r w:rsidRPr="00442EAF">
        <w:rPr>
          <w:rFonts w:ascii="Times New Roman" w:eastAsia="Times New Roman" w:hAnsi="Times New Roman" w:cs="Times New Roman"/>
          <w:color w:val="1B1B1B"/>
          <w:sz w:val="14"/>
          <w:szCs w:val="14"/>
          <w:bdr w:val="none" w:sz="0" w:space="0" w:color="auto" w:frame="1"/>
          <w:lang w:eastAsia="ru-RU"/>
        </w:rPr>
        <w:t xml:space="preserve"> нужды (ОДН) в отношении электроснабжения в Нижегородской области. Нормативы потребления на электроэнергию для жилых помещений для жителей многоквартирных жилых домов или частных домов Нижнего Новгорода и других населенных пунктов региона приведены в таблице 1, данные по нормативам для ОДН приведены в таблице 2.</w:t>
      </w:r>
    </w:p>
    <w:p w:rsidR="00442EAF" w:rsidRPr="00442EAF" w:rsidRDefault="00442EAF" w:rsidP="00442E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14"/>
          <w:szCs w:val="14"/>
          <w:lang w:eastAsia="ru-RU"/>
        </w:rPr>
      </w:pPr>
      <w:r w:rsidRPr="00442EAF">
        <w:rPr>
          <w:rFonts w:ascii="Times New Roman" w:eastAsia="Times New Roman" w:hAnsi="Times New Roman" w:cs="Times New Roman"/>
          <w:color w:val="1B1B1B"/>
          <w:sz w:val="14"/>
          <w:szCs w:val="14"/>
          <w:lang w:eastAsia="ru-RU"/>
        </w:rPr>
        <w:t>.</w:t>
      </w:r>
    </w:p>
    <w:p w:rsidR="00442EAF" w:rsidRPr="00442EAF" w:rsidRDefault="00442EAF" w:rsidP="00442EAF">
      <w:pPr>
        <w:spacing w:after="216" w:line="240" w:lineRule="auto"/>
        <w:jc w:val="center"/>
        <w:textAlignment w:val="baseline"/>
        <w:rPr>
          <w:rFonts w:ascii="Arial" w:eastAsia="Times New Roman" w:hAnsi="Arial" w:cs="Arial"/>
          <w:color w:val="1B1B1B"/>
          <w:sz w:val="14"/>
          <w:szCs w:val="14"/>
          <w:lang w:eastAsia="ru-RU"/>
        </w:rPr>
      </w:pPr>
      <w:r w:rsidRPr="00442EAF">
        <w:rPr>
          <w:rFonts w:ascii="Arial" w:eastAsia="Times New Roman" w:hAnsi="Arial" w:cs="Arial"/>
          <w:color w:val="1B1B1B"/>
          <w:sz w:val="14"/>
          <w:szCs w:val="14"/>
          <w:lang w:eastAsia="ru-RU"/>
        </w:rPr>
        <w:t>НОРМАТИВЫ ПОТРЕБЛЕНИЯ КОММУНАЛЬНОЙ УСЛУГИ ПО ЭЛЕКТРОСНАБЖЕНИЮ НАСЕЛЕНИЕМ, ПРОЖИВАЮЩИМ В МНОГОКВАРТИРНЫХ ИЛИ ЖИЛЫХ ДОМАХ НА ТЕРРИТОРИИ НИЖЕГОРОДСКОЙ ОБЛАСТИ, ПРИ ОТСУТСТВИИ ПРИБОРОВ УЧЕТА ЭЛЕКТРИЧЕСКОЙ ЭНЕРГИИ В ЖИЛЫХ ПОМЕЩЕНИЯХ</w:t>
      </w:r>
    </w:p>
    <w:p w:rsidR="00442EAF" w:rsidRPr="00442EAF" w:rsidRDefault="00442EAF" w:rsidP="00442EAF">
      <w:pPr>
        <w:spacing w:after="216" w:line="240" w:lineRule="auto"/>
        <w:jc w:val="right"/>
        <w:textAlignment w:val="baseline"/>
        <w:rPr>
          <w:rFonts w:ascii="Arial" w:eastAsia="Times New Roman" w:hAnsi="Arial" w:cs="Arial"/>
          <w:color w:val="1B1B1B"/>
          <w:sz w:val="14"/>
          <w:szCs w:val="14"/>
          <w:lang w:eastAsia="ru-RU"/>
        </w:rPr>
      </w:pPr>
      <w:r w:rsidRPr="00442EAF">
        <w:rPr>
          <w:rFonts w:ascii="Arial" w:eastAsia="Times New Roman" w:hAnsi="Arial" w:cs="Arial"/>
          <w:color w:val="1B1B1B"/>
          <w:sz w:val="14"/>
          <w:szCs w:val="14"/>
          <w:lang w:eastAsia="ru-RU"/>
        </w:rPr>
        <w:t>Таблица 1 </w:t>
      </w:r>
    </w:p>
    <w:tbl>
      <w:tblPr>
        <w:tblW w:w="8172" w:type="dxa"/>
        <w:tblCellMar>
          <w:left w:w="0" w:type="dxa"/>
          <w:right w:w="0" w:type="dxa"/>
        </w:tblCellMar>
        <w:tblLook w:val="04A0"/>
      </w:tblPr>
      <w:tblGrid>
        <w:gridCol w:w="504"/>
        <w:gridCol w:w="2825"/>
        <w:gridCol w:w="908"/>
        <w:gridCol w:w="1009"/>
        <w:gridCol w:w="1009"/>
        <w:gridCol w:w="1009"/>
        <w:gridCol w:w="908"/>
      </w:tblGrid>
      <w:tr w:rsidR="00442EAF" w:rsidRPr="00442EAF" w:rsidTr="00442EAF">
        <w:tc>
          <w:tcPr>
            <w:tcW w:w="480" w:type="dxa"/>
            <w:vMerge w:val="restart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N</w:t>
            </w:r>
            <w:r w:rsidRPr="00442EAF">
              <w:rPr>
                <w:rFonts w:ascii="Arial" w:eastAsia="Times New Roman" w:hAnsi="Arial" w:cs="Arial"/>
                <w:sz w:val="13"/>
                <w:lang w:eastAsia="ru-RU"/>
              </w:rPr>
              <w:t> 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</w:r>
            <w:proofErr w:type="spellStart"/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п</w:t>
            </w:r>
            <w:proofErr w:type="spellEnd"/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/</w:t>
            </w:r>
            <w:proofErr w:type="spellStart"/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п</w:t>
            </w:r>
            <w:proofErr w:type="spellEnd"/>
          </w:p>
        </w:tc>
        <w:tc>
          <w:tcPr>
            <w:tcW w:w="7296" w:type="dxa"/>
            <w:gridSpan w:val="6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Нормативы потребления коммунальной услуги по электроснабжению в жилых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 xml:space="preserve">помещениях, </w:t>
            </w:r>
            <w:proofErr w:type="spellStart"/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кВт.ч</w:t>
            </w:r>
            <w:proofErr w:type="spellEnd"/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на 1 человека в месяц при количестве проживающих в</w:t>
            </w:r>
            <w:r w:rsidRPr="00442EAF">
              <w:rPr>
                <w:rFonts w:ascii="Arial" w:eastAsia="Times New Roman" w:hAnsi="Arial" w:cs="Arial"/>
                <w:sz w:val="13"/>
                <w:lang w:eastAsia="ru-RU"/>
              </w:rPr>
              <w:t> 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                           жилом помещении                          </w:t>
            </w:r>
          </w:p>
        </w:tc>
      </w:tr>
      <w:tr w:rsidR="00442EAF" w:rsidRPr="00442EAF" w:rsidTr="00442EAF">
        <w:tc>
          <w:tcPr>
            <w:tcW w:w="0" w:type="auto"/>
            <w:vMerge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442EAF" w:rsidRPr="00442EAF" w:rsidRDefault="00442EAF" w:rsidP="00442EA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  Количество комнат  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1  </w:t>
            </w:r>
            <w:r w:rsidRPr="00442EAF">
              <w:rPr>
                <w:rFonts w:ascii="Arial" w:eastAsia="Times New Roman" w:hAnsi="Arial" w:cs="Arial"/>
                <w:sz w:val="13"/>
                <w:lang w:eastAsia="ru-RU"/>
              </w:rPr>
              <w:t> 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человек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2   </w:t>
            </w:r>
            <w:r w:rsidRPr="00442EAF">
              <w:rPr>
                <w:rFonts w:ascii="Arial" w:eastAsia="Times New Roman" w:hAnsi="Arial" w:cs="Arial"/>
                <w:sz w:val="13"/>
                <w:lang w:eastAsia="ru-RU"/>
              </w:rPr>
              <w:t> 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человека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3   </w:t>
            </w:r>
            <w:r w:rsidRPr="00442EAF">
              <w:rPr>
                <w:rFonts w:ascii="Arial" w:eastAsia="Times New Roman" w:hAnsi="Arial" w:cs="Arial"/>
                <w:sz w:val="13"/>
                <w:lang w:eastAsia="ru-RU"/>
              </w:rPr>
              <w:t> 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человека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4   </w:t>
            </w:r>
            <w:r w:rsidRPr="00442EAF">
              <w:rPr>
                <w:rFonts w:ascii="Arial" w:eastAsia="Times New Roman" w:hAnsi="Arial" w:cs="Arial"/>
                <w:sz w:val="13"/>
                <w:lang w:eastAsia="ru-RU"/>
              </w:rPr>
              <w:t> 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человека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5  </w:t>
            </w:r>
            <w:r w:rsidRPr="00442EAF">
              <w:rPr>
                <w:rFonts w:ascii="Arial" w:eastAsia="Times New Roman" w:hAnsi="Arial" w:cs="Arial"/>
                <w:sz w:val="13"/>
                <w:lang w:eastAsia="ru-RU"/>
              </w:rPr>
              <w:t> 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человек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и более</w:t>
            </w:r>
          </w:p>
        </w:tc>
      </w:tr>
      <w:tr w:rsidR="00442EAF" w:rsidRPr="00442EAF" w:rsidTr="00442EAF">
        <w:tc>
          <w:tcPr>
            <w:tcW w:w="48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1.</w:t>
            </w:r>
          </w:p>
        </w:tc>
        <w:tc>
          <w:tcPr>
            <w:tcW w:w="7296" w:type="dxa"/>
            <w:gridSpan w:val="6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              Дома, оборудованные газовыми плитами                </w:t>
            </w:r>
          </w:p>
        </w:tc>
      </w:tr>
      <w:tr w:rsidR="00442EAF" w:rsidRPr="00442EAF" w:rsidTr="00442EAF">
        <w:tc>
          <w:tcPr>
            <w:tcW w:w="48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1.1</w:t>
            </w:r>
          </w:p>
        </w:tc>
        <w:tc>
          <w:tcPr>
            <w:tcW w:w="2688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Одна комната           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103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64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49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40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35 </w:t>
            </w:r>
          </w:p>
        </w:tc>
      </w:tr>
      <w:tr w:rsidR="00442EAF" w:rsidRPr="00442EAF" w:rsidTr="00442EAF">
        <w:tc>
          <w:tcPr>
            <w:tcW w:w="48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1.2</w:t>
            </w:r>
          </w:p>
        </w:tc>
        <w:tc>
          <w:tcPr>
            <w:tcW w:w="2688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Две комнаты            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133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82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64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52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45 </w:t>
            </w:r>
          </w:p>
        </w:tc>
      </w:tr>
      <w:tr w:rsidR="00442EAF" w:rsidRPr="00442EAF" w:rsidTr="00442EAF">
        <w:tc>
          <w:tcPr>
            <w:tcW w:w="48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1.3</w:t>
            </w:r>
          </w:p>
        </w:tc>
        <w:tc>
          <w:tcPr>
            <w:tcW w:w="2688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Три комнаты            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150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93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72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59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51 </w:t>
            </w:r>
          </w:p>
        </w:tc>
      </w:tr>
      <w:tr w:rsidR="00442EAF" w:rsidRPr="00442EAF" w:rsidTr="00442EAF">
        <w:tc>
          <w:tcPr>
            <w:tcW w:w="48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1.4</w:t>
            </w:r>
          </w:p>
        </w:tc>
        <w:tc>
          <w:tcPr>
            <w:tcW w:w="2688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Четыре и более комнат  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162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101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78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63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55 </w:t>
            </w:r>
          </w:p>
        </w:tc>
      </w:tr>
      <w:tr w:rsidR="00442EAF" w:rsidRPr="00442EAF" w:rsidTr="00442EAF">
        <w:tc>
          <w:tcPr>
            <w:tcW w:w="48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2.</w:t>
            </w:r>
          </w:p>
        </w:tc>
        <w:tc>
          <w:tcPr>
            <w:tcW w:w="7296" w:type="dxa"/>
            <w:gridSpan w:val="6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   Дома, оборудованные в установленном порядке электроплитами     </w:t>
            </w:r>
          </w:p>
        </w:tc>
      </w:tr>
      <w:tr w:rsidR="00442EAF" w:rsidRPr="00442EAF" w:rsidTr="00442EAF">
        <w:tc>
          <w:tcPr>
            <w:tcW w:w="48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2.1</w:t>
            </w:r>
          </w:p>
        </w:tc>
        <w:tc>
          <w:tcPr>
            <w:tcW w:w="2688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Одна комната           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153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95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73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60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52 </w:t>
            </w:r>
          </w:p>
        </w:tc>
      </w:tr>
      <w:tr w:rsidR="00442EAF" w:rsidRPr="00442EAF" w:rsidTr="00442EAF">
        <w:tc>
          <w:tcPr>
            <w:tcW w:w="48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2.2</w:t>
            </w:r>
          </w:p>
        </w:tc>
        <w:tc>
          <w:tcPr>
            <w:tcW w:w="2688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Две комнаты            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180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112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87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70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61 </w:t>
            </w:r>
          </w:p>
        </w:tc>
      </w:tr>
      <w:tr w:rsidR="00442EAF" w:rsidRPr="00442EAF" w:rsidTr="00442EAF">
        <w:tc>
          <w:tcPr>
            <w:tcW w:w="48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2.3</w:t>
            </w:r>
          </w:p>
        </w:tc>
        <w:tc>
          <w:tcPr>
            <w:tcW w:w="2688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Три комнаты            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197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122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95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77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67 </w:t>
            </w:r>
          </w:p>
        </w:tc>
      </w:tr>
      <w:tr w:rsidR="00442EAF" w:rsidRPr="00442EAF" w:rsidTr="00442EAF">
        <w:tc>
          <w:tcPr>
            <w:tcW w:w="48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2.4</w:t>
            </w:r>
          </w:p>
        </w:tc>
        <w:tc>
          <w:tcPr>
            <w:tcW w:w="2688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Четыре и более комнат  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209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130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101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82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71 </w:t>
            </w:r>
          </w:p>
        </w:tc>
      </w:tr>
      <w:tr w:rsidR="00442EAF" w:rsidRPr="00442EAF" w:rsidTr="00442EAF">
        <w:tc>
          <w:tcPr>
            <w:tcW w:w="48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3.</w:t>
            </w:r>
          </w:p>
        </w:tc>
        <w:tc>
          <w:tcPr>
            <w:tcW w:w="7296" w:type="dxa"/>
            <w:gridSpan w:val="6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Дома, оборудованные газовыми плитами и водонагревателями по проекту</w:t>
            </w:r>
          </w:p>
        </w:tc>
      </w:tr>
      <w:tr w:rsidR="00442EAF" w:rsidRPr="00442EAF" w:rsidTr="00442EAF">
        <w:tc>
          <w:tcPr>
            <w:tcW w:w="48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3.1</w:t>
            </w:r>
          </w:p>
        </w:tc>
        <w:tc>
          <w:tcPr>
            <w:tcW w:w="2688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Одна комната           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174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108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84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68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59 </w:t>
            </w:r>
          </w:p>
        </w:tc>
      </w:tr>
      <w:tr w:rsidR="00442EAF" w:rsidRPr="00442EAF" w:rsidTr="00442EAF">
        <w:tc>
          <w:tcPr>
            <w:tcW w:w="48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3.2</w:t>
            </w:r>
          </w:p>
        </w:tc>
        <w:tc>
          <w:tcPr>
            <w:tcW w:w="2688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Две комнаты             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225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139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108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88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76 </w:t>
            </w:r>
          </w:p>
        </w:tc>
      </w:tr>
      <w:tr w:rsidR="00442EAF" w:rsidRPr="00442EAF" w:rsidTr="00442EAF">
        <w:tc>
          <w:tcPr>
            <w:tcW w:w="48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3.3</w:t>
            </w:r>
          </w:p>
        </w:tc>
        <w:tc>
          <w:tcPr>
            <w:tcW w:w="2688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Три комнаты            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255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158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122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99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87 </w:t>
            </w:r>
          </w:p>
        </w:tc>
      </w:tr>
      <w:tr w:rsidR="00442EAF" w:rsidRPr="00442EAF" w:rsidTr="00442EAF">
        <w:tc>
          <w:tcPr>
            <w:tcW w:w="48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3.4</w:t>
            </w:r>
          </w:p>
        </w:tc>
        <w:tc>
          <w:tcPr>
            <w:tcW w:w="2688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Четыре и более комнат  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276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171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132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107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94 </w:t>
            </w:r>
          </w:p>
        </w:tc>
      </w:tr>
      <w:tr w:rsidR="00442EAF" w:rsidRPr="00442EAF" w:rsidTr="00442EAF">
        <w:tc>
          <w:tcPr>
            <w:tcW w:w="48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4.</w:t>
            </w:r>
          </w:p>
        </w:tc>
        <w:tc>
          <w:tcPr>
            <w:tcW w:w="7296" w:type="dxa"/>
            <w:gridSpan w:val="6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Дома, оборудованные электроплитами и водонагревателями по проекту </w:t>
            </w:r>
          </w:p>
        </w:tc>
      </w:tr>
      <w:tr w:rsidR="00442EAF" w:rsidRPr="00442EAF" w:rsidTr="00442EAF">
        <w:tc>
          <w:tcPr>
            <w:tcW w:w="48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4.1</w:t>
            </w:r>
          </w:p>
        </w:tc>
        <w:tc>
          <w:tcPr>
            <w:tcW w:w="2688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Одна комната           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224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139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108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88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76 </w:t>
            </w:r>
          </w:p>
        </w:tc>
      </w:tr>
      <w:tr w:rsidR="00442EAF" w:rsidRPr="00442EAF" w:rsidTr="00442EAF">
        <w:tc>
          <w:tcPr>
            <w:tcW w:w="48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4.2</w:t>
            </w:r>
          </w:p>
        </w:tc>
        <w:tc>
          <w:tcPr>
            <w:tcW w:w="2688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Две комнаты            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265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164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127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103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90 </w:t>
            </w:r>
          </w:p>
        </w:tc>
      </w:tr>
      <w:tr w:rsidR="00442EAF" w:rsidRPr="00442EAF" w:rsidTr="00442EAF">
        <w:tc>
          <w:tcPr>
            <w:tcW w:w="48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4.3</w:t>
            </w:r>
          </w:p>
        </w:tc>
        <w:tc>
          <w:tcPr>
            <w:tcW w:w="2688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Три комнаты            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289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179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139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113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98 </w:t>
            </w:r>
          </w:p>
        </w:tc>
      </w:tr>
      <w:tr w:rsidR="00442EAF" w:rsidRPr="00442EAF" w:rsidTr="00442EAF">
        <w:tc>
          <w:tcPr>
            <w:tcW w:w="48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4.4</w:t>
            </w:r>
          </w:p>
        </w:tc>
        <w:tc>
          <w:tcPr>
            <w:tcW w:w="2688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Четыре и более комнат  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307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191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148  </w:t>
            </w:r>
          </w:p>
        </w:tc>
        <w:tc>
          <w:tcPr>
            <w:tcW w:w="96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120  </w:t>
            </w:r>
          </w:p>
        </w:tc>
        <w:tc>
          <w:tcPr>
            <w:tcW w:w="864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105 </w:t>
            </w:r>
          </w:p>
        </w:tc>
      </w:tr>
    </w:tbl>
    <w:p w:rsidR="00442EAF" w:rsidRPr="00442EAF" w:rsidRDefault="00442EAF" w:rsidP="00442EAF">
      <w:pPr>
        <w:spacing w:after="216" w:line="240" w:lineRule="auto"/>
        <w:jc w:val="right"/>
        <w:textAlignment w:val="baseline"/>
        <w:rPr>
          <w:rFonts w:ascii="Arial" w:eastAsia="Times New Roman" w:hAnsi="Arial" w:cs="Arial"/>
          <w:color w:val="1B1B1B"/>
          <w:sz w:val="14"/>
          <w:szCs w:val="14"/>
          <w:lang w:eastAsia="ru-RU"/>
        </w:rPr>
      </w:pPr>
      <w:r w:rsidRPr="00442EAF">
        <w:rPr>
          <w:rFonts w:ascii="Arial" w:eastAsia="Times New Roman" w:hAnsi="Arial" w:cs="Arial"/>
          <w:color w:val="1B1B1B"/>
          <w:sz w:val="14"/>
          <w:szCs w:val="14"/>
          <w:lang w:eastAsia="ru-RU"/>
        </w:rPr>
        <w:t> </w:t>
      </w:r>
    </w:p>
    <w:p w:rsidR="00442EAF" w:rsidRPr="00442EAF" w:rsidRDefault="00442EAF" w:rsidP="00442EA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B1B1B"/>
          <w:sz w:val="14"/>
          <w:szCs w:val="14"/>
          <w:lang w:eastAsia="ru-RU"/>
        </w:rPr>
      </w:pPr>
      <w:bookmarkStart w:id="0" w:name="Par94"/>
      <w:bookmarkEnd w:id="0"/>
      <w:r w:rsidRPr="00442EAF">
        <w:rPr>
          <w:rFonts w:ascii="Arial" w:eastAsia="Times New Roman" w:hAnsi="Arial" w:cs="Arial"/>
          <w:color w:val="1B1B1B"/>
          <w:sz w:val="14"/>
          <w:szCs w:val="14"/>
          <w:lang w:eastAsia="ru-RU"/>
        </w:rPr>
        <w:t>НОРМАТИВЫ ПОТРЕБЛЕНИЯ НАСЕЛЕНИЕМ КОММУНАЛЬНОЙ УСЛУГИ ПО ЭЛЕКТРОСНАБЖЕНИЮ НАСЕЛЕНИЕМ, ПРОЖИВАЮЩИМ В МНОГОКВАРТИРНЫХ ДОМАХ НА ТЕРРИТОРИИ НИЖЕГОРОДСКОЙ ОБЛАСТИ, ПРИ ОТСУТСТВИИ  ПРИБОРОВ УЧЕТА ЭЛЕКТРИЧЕСКОЙ ЭНЕРГИИ НА ОБЩЕДОМОВЫЕ НУЖДЫ</w:t>
      </w:r>
    </w:p>
    <w:p w:rsidR="00442EAF" w:rsidRPr="00442EAF" w:rsidRDefault="00442EAF" w:rsidP="00442EAF">
      <w:pPr>
        <w:spacing w:after="216" w:line="240" w:lineRule="auto"/>
        <w:jc w:val="right"/>
        <w:textAlignment w:val="baseline"/>
        <w:rPr>
          <w:rFonts w:ascii="Arial" w:eastAsia="Times New Roman" w:hAnsi="Arial" w:cs="Arial"/>
          <w:color w:val="1B1B1B"/>
          <w:sz w:val="14"/>
          <w:szCs w:val="14"/>
          <w:lang w:eastAsia="ru-RU"/>
        </w:rPr>
      </w:pPr>
      <w:r w:rsidRPr="00442EAF">
        <w:rPr>
          <w:rFonts w:ascii="Arial" w:eastAsia="Times New Roman" w:hAnsi="Arial" w:cs="Arial"/>
          <w:color w:val="1B1B1B"/>
          <w:sz w:val="14"/>
          <w:szCs w:val="14"/>
          <w:lang w:eastAsia="ru-RU"/>
        </w:rPr>
        <w:t>Таблица 2</w:t>
      </w:r>
    </w:p>
    <w:tbl>
      <w:tblPr>
        <w:tblW w:w="8172" w:type="dxa"/>
        <w:tblCellMar>
          <w:left w:w="0" w:type="dxa"/>
          <w:right w:w="0" w:type="dxa"/>
        </w:tblCellMar>
        <w:tblLook w:val="04A0"/>
      </w:tblPr>
      <w:tblGrid>
        <w:gridCol w:w="494"/>
        <w:gridCol w:w="2290"/>
        <w:gridCol w:w="898"/>
        <w:gridCol w:w="898"/>
        <w:gridCol w:w="898"/>
        <w:gridCol w:w="898"/>
        <w:gridCol w:w="898"/>
        <w:gridCol w:w="898"/>
      </w:tblGrid>
      <w:tr w:rsidR="00442EAF" w:rsidRPr="00442EAF" w:rsidTr="00442EAF">
        <w:tc>
          <w:tcPr>
            <w:tcW w:w="396" w:type="dxa"/>
            <w:vMerge w:val="restart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N</w:t>
            </w:r>
            <w:r w:rsidRPr="00442EAF">
              <w:rPr>
                <w:rFonts w:ascii="Arial" w:eastAsia="Times New Roman" w:hAnsi="Arial" w:cs="Arial"/>
                <w:sz w:val="13"/>
                <w:lang w:eastAsia="ru-RU"/>
              </w:rPr>
              <w:t> 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</w:r>
            <w:proofErr w:type="spellStart"/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п</w:t>
            </w:r>
            <w:proofErr w:type="spellEnd"/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/</w:t>
            </w:r>
            <w:proofErr w:type="spellStart"/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Группы оборудования,</w:t>
            </w:r>
            <w:r w:rsidRPr="00442EAF">
              <w:rPr>
                <w:rFonts w:ascii="Arial" w:eastAsia="Times New Roman" w:hAnsi="Arial" w:cs="Arial"/>
                <w:sz w:val="13"/>
                <w:lang w:eastAsia="ru-RU"/>
              </w:rPr>
              <w:t> 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  являющегося общим </w:t>
            </w:r>
            <w:r w:rsidRPr="00442EAF">
              <w:rPr>
                <w:rFonts w:ascii="Arial" w:eastAsia="Times New Roman" w:hAnsi="Arial" w:cs="Arial"/>
                <w:sz w:val="13"/>
                <w:lang w:eastAsia="ru-RU"/>
              </w:rPr>
              <w:t> 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     имуществом     </w:t>
            </w:r>
            <w:r w:rsidRPr="00442EAF">
              <w:rPr>
                <w:rFonts w:ascii="Arial" w:eastAsia="Times New Roman" w:hAnsi="Arial" w:cs="Arial"/>
                <w:sz w:val="13"/>
                <w:lang w:eastAsia="ru-RU"/>
              </w:rPr>
              <w:t> 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lastRenderedPageBreak/>
              <w:t>многоквартирного дома</w:t>
            </w:r>
          </w:p>
        </w:tc>
        <w:tc>
          <w:tcPr>
            <w:tcW w:w="4320" w:type="dxa"/>
            <w:gridSpan w:val="6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lastRenderedPageBreak/>
              <w:t> Нормативы потребления коммунальной услуги по </w:t>
            </w:r>
            <w:r w:rsidRPr="00442EAF">
              <w:rPr>
                <w:rFonts w:ascii="Arial" w:eastAsia="Times New Roman" w:hAnsi="Arial" w:cs="Arial"/>
                <w:sz w:val="13"/>
                <w:lang w:eastAsia="ru-RU"/>
              </w:rPr>
              <w:t> 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 xml:space="preserve">электроснабжению на </w:t>
            </w:r>
            <w:proofErr w:type="spellStart"/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общедомовые</w:t>
            </w:r>
            <w:proofErr w:type="spellEnd"/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нужды, </w:t>
            </w:r>
            <w:proofErr w:type="spellStart"/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кВт.ч</w:t>
            </w:r>
            <w:proofErr w:type="spellEnd"/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в</w:t>
            </w:r>
            <w:r w:rsidRPr="00442EAF">
              <w:rPr>
                <w:rFonts w:ascii="Arial" w:eastAsia="Times New Roman" w:hAnsi="Arial" w:cs="Arial"/>
                <w:sz w:val="13"/>
                <w:lang w:eastAsia="ru-RU"/>
              </w:rPr>
              <w:t> 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месяц на 1 кв. метр площади помещений, входящих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  в состав общего имущества в многоквартирном </w:t>
            </w:r>
            <w:r w:rsidRPr="00442EAF">
              <w:rPr>
                <w:rFonts w:ascii="Arial" w:eastAsia="Times New Roman" w:hAnsi="Arial" w:cs="Arial"/>
                <w:sz w:val="13"/>
                <w:lang w:eastAsia="ru-RU"/>
              </w:rPr>
              <w:t> 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lastRenderedPageBreak/>
              <w:t>                     доме                     </w:t>
            </w:r>
          </w:p>
        </w:tc>
      </w:tr>
      <w:tr w:rsidR="00442EAF" w:rsidRPr="00442EAF" w:rsidTr="00442EAF">
        <w:tc>
          <w:tcPr>
            <w:tcW w:w="0" w:type="auto"/>
            <w:vMerge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442EAF" w:rsidRPr="00442EAF" w:rsidRDefault="00442EAF" w:rsidP="00442EA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442EAF" w:rsidRPr="00442EAF" w:rsidRDefault="00442EAF" w:rsidP="00442EA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1 - 2</w:t>
            </w:r>
            <w:r w:rsidRPr="00442EAF">
              <w:rPr>
                <w:rFonts w:ascii="Arial" w:eastAsia="Times New Roman" w:hAnsi="Arial" w:cs="Arial"/>
                <w:sz w:val="13"/>
                <w:lang w:eastAsia="ru-RU"/>
              </w:rPr>
              <w:t> 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этажные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3 - 4</w:t>
            </w:r>
            <w:r w:rsidRPr="00442EAF">
              <w:rPr>
                <w:rFonts w:ascii="Arial" w:eastAsia="Times New Roman" w:hAnsi="Arial" w:cs="Arial"/>
                <w:sz w:val="13"/>
                <w:lang w:eastAsia="ru-RU"/>
              </w:rPr>
              <w:t> 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этажные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5  </w:t>
            </w:r>
            <w:r w:rsidRPr="00442EAF">
              <w:rPr>
                <w:rFonts w:ascii="Arial" w:eastAsia="Times New Roman" w:hAnsi="Arial" w:cs="Arial"/>
                <w:sz w:val="13"/>
                <w:lang w:eastAsia="ru-RU"/>
              </w:rPr>
              <w:t> 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этажные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6 - 9</w:t>
            </w:r>
            <w:r w:rsidRPr="00442EAF">
              <w:rPr>
                <w:rFonts w:ascii="Arial" w:eastAsia="Times New Roman" w:hAnsi="Arial" w:cs="Arial"/>
                <w:sz w:val="13"/>
                <w:lang w:eastAsia="ru-RU"/>
              </w:rPr>
              <w:t> 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этажные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10 - 15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этажные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 16  </w:t>
            </w:r>
            <w:r w:rsidRPr="00442EAF">
              <w:rPr>
                <w:rFonts w:ascii="Arial" w:eastAsia="Times New Roman" w:hAnsi="Arial" w:cs="Arial"/>
                <w:sz w:val="13"/>
                <w:lang w:eastAsia="ru-RU"/>
              </w:rPr>
              <w:t> 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этажные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и выше</w:t>
            </w:r>
          </w:p>
        </w:tc>
      </w:tr>
      <w:tr w:rsidR="00442EAF" w:rsidRPr="00442EAF" w:rsidTr="00442EAF">
        <w:tc>
          <w:tcPr>
            <w:tcW w:w="396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1.</w:t>
            </w:r>
          </w:p>
        </w:tc>
        <w:tc>
          <w:tcPr>
            <w:tcW w:w="1836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Освещение          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0,71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1,08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1,23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1,72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2,25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3,33 </w:t>
            </w:r>
          </w:p>
        </w:tc>
      </w:tr>
      <w:tr w:rsidR="00442EAF" w:rsidRPr="00442EAF" w:rsidTr="00442EAF">
        <w:tc>
          <w:tcPr>
            <w:tcW w:w="396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2.</w:t>
            </w:r>
          </w:p>
        </w:tc>
        <w:tc>
          <w:tcPr>
            <w:tcW w:w="1836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Освещение  и  силовое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оборудование лифтов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</w:tr>
      <w:tr w:rsidR="00442EAF" w:rsidRPr="00442EAF" w:rsidTr="00442EAF">
        <w:tc>
          <w:tcPr>
            <w:tcW w:w="396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2.1</w:t>
            </w:r>
          </w:p>
        </w:tc>
        <w:tc>
          <w:tcPr>
            <w:tcW w:w="1836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Освещение  и  силовое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оборудование 1  лифта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в подъезде         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- 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- 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3,19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3,19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3,53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4,75 </w:t>
            </w:r>
          </w:p>
        </w:tc>
      </w:tr>
      <w:tr w:rsidR="00442EAF" w:rsidRPr="00442EAF" w:rsidTr="00442EAF">
        <w:tc>
          <w:tcPr>
            <w:tcW w:w="396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2.2</w:t>
            </w:r>
          </w:p>
        </w:tc>
        <w:tc>
          <w:tcPr>
            <w:tcW w:w="1836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Освещение  и  силовое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оборудование   2    и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более    лифтов     в</w:t>
            </w: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подъезде           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- 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- 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  - 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4,66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5,34 </w:t>
            </w:r>
          </w:p>
        </w:tc>
        <w:tc>
          <w:tcPr>
            <w:tcW w:w="720" w:type="dxa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vAlign w:val="bottom"/>
            <w:hideMark/>
          </w:tcPr>
          <w:p w:rsidR="00442EAF" w:rsidRPr="00442EAF" w:rsidRDefault="00442EAF" w:rsidP="00442EAF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42EA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6,52 </w:t>
            </w:r>
          </w:p>
        </w:tc>
      </w:tr>
    </w:tbl>
    <w:p w:rsidR="00442EAF" w:rsidRPr="00442EAF" w:rsidRDefault="00442EAF" w:rsidP="00442EAF">
      <w:pPr>
        <w:spacing w:after="216" w:line="240" w:lineRule="auto"/>
        <w:textAlignment w:val="baseline"/>
        <w:rPr>
          <w:rFonts w:ascii="Arial" w:eastAsia="Times New Roman" w:hAnsi="Arial" w:cs="Arial"/>
          <w:color w:val="1B1B1B"/>
          <w:sz w:val="14"/>
          <w:szCs w:val="14"/>
          <w:lang w:eastAsia="ru-RU"/>
        </w:rPr>
      </w:pPr>
      <w:r w:rsidRPr="00442EAF">
        <w:rPr>
          <w:rFonts w:ascii="Arial" w:eastAsia="Times New Roman" w:hAnsi="Arial" w:cs="Arial"/>
          <w:color w:val="1B1B1B"/>
          <w:sz w:val="14"/>
          <w:szCs w:val="14"/>
          <w:lang w:eastAsia="ru-RU"/>
        </w:rPr>
        <w:t>Источник - постановление Правительства Нижегородской области от 30 августа 2012 г. N 594</w:t>
      </w:r>
    </w:p>
    <w:p w:rsidR="00B45CE0" w:rsidRDefault="00B45CE0"/>
    <w:sectPr w:rsidR="00B45CE0" w:rsidSect="00B4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2EAF"/>
    <w:rsid w:val="00442EAF"/>
    <w:rsid w:val="00B4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0"/>
  </w:style>
  <w:style w:type="paragraph" w:styleId="1">
    <w:name w:val="heading 1"/>
    <w:basedOn w:val="a"/>
    <w:link w:val="10"/>
    <w:uiPriority w:val="9"/>
    <w:qFormat/>
    <w:rsid w:val="00442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2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single" w:sz="4" w:space="0" w:color="DBDC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Company>Retired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2017-04-14T11:26:00Z</dcterms:created>
  <dcterms:modified xsi:type="dcterms:W3CDTF">2017-04-14T11:26:00Z</dcterms:modified>
</cp:coreProperties>
</file>